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4F0D" w14:textId="77777777" w:rsidR="00116CA0" w:rsidRDefault="0035079F">
      <w:pPr>
        <w:pStyle w:val="Heading1"/>
      </w:pPr>
      <w:r>
        <w:t>Thammasat University Regulation</w:t>
      </w:r>
    </w:p>
    <w:p w14:paraId="38B71C20" w14:textId="18228AD0" w:rsidR="00116CA0" w:rsidRDefault="0035079F" w:rsidP="00C14355">
      <w:pPr>
        <w:pStyle w:val="Heading1"/>
      </w:pPr>
      <w:r>
        <w:t>on the Credit Bank System</w:t>
      </w:r>
      <w:r w:rsidR="00C14355">
        <w:t xml:space="preserve"> </w:t>
      </w:r>
      <w:r>
        <w:t>B.E. 2569 (2026)</w:t>
      </w:r>
    </w:p>
    <w:p w14:paraId="63BECD1E" w14:textId="77777777" w:rsidR="00116CA0" w:rsidRDefault="00116CA0"/>
    <w:p w14:paraId="173F1E35" w14:textId="77777777" w:rsidR="00124344" w:rsidRPr="00124344" w:rsidRDefault="00124344" w:rsidP="0050058B">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Whereas it is deemed expedient to enact this Thammasat University Regulation on the Credit Bank System in order to comply with the guidelines prescribed by the Committee on Higher Education Standards concerning the implementation of credit banking in higher education institutions;</w:t>
      </w:r>
    </w:p>
    <w:p w14:paraId="6B76A327" w14:textId="32BEBF5C" w:rsidR="00124344" w:rsidRPr="00124344" w:rsidRDefault="00124344" w:rsidP="0050058B">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 xml:space="preserve">Whereas such implementation promotes and supports lifelong learning and establishes linkages among formal education, non-formal education, and informal education; </w:t>
      </w:r>
    </w:p>
    <w:p w14:paraId="415E0F72" w14:textId="77777777" w:rsidR="00124344" w:rsidRPr="00124344" w:rsidRDefault="00124344" w:rsidP="0050058B">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Whereas such implementation further promotes the accumulation of credits earned from formal education, non-formal education, and informal education within a Credit Bank System;</w:t>
      </w:r>
    </w:p>
    <w:p w14:paraId="66CDDD28" w14:textId="02AA4724" w:rsidR="00C14355" w:rsidRDefault="00124344" w:rsidP="0050058B">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By virtue of Section 23(2) of the Thammasat University Act, B.E. 2558 (2015), the University Council, at its Meeting No. 12/2568 held on 23 December B.E. 2568 (2025), has resolved to promulgate the following Regulation:</w:t>
      </w:r>
    </w:p>
    <w:p w14:paraId="3B9F10A9" w14:textId="0D5D6776" w:rsidR="00124344" w:rsidRPr="00C14355" w:rsidRDefault="00124344" w:rsidP="00C14355">
      <w:pPr>
        <w:pStyle w:val="ListParagraph"/>
        <w:numPr>
          <w:ilvl w:val="0"/>
          <w:numId w:val="3"/>
        </w:numPr>
        <w:spacing w:after="120"/>
        <w:jc w:val="both"/>
        <w:rPr>
          <w:rFonts w:ascii="Times New Roman" w:eastAsia="Times New Roman" w:hAnsi="Times New Roman" w:cs="Times New Roman"/>
        </w:rPr>
      </w:pPr>
      <w:r w:rsidRPr="00C14355">
        <w:rPr>
          <w:rFonts w:ascii="Times New Roman" w:eastAsia="Times New Roman" w:hAnsi="Times New Roman" w:cs="Times New Roman"/>
        </w:rPr>
        <w:t>This Regulation shall be cited as the “Thammasat University Regulation on the Credit Bank System, B.E. 2569 (2026).”</w:t>
      </w:r>
    </w:p>
    <w:p w14:paraId="604EEBA0" w14:textId="7EAF2709" w:rsidR="00124344" w:rsidRPr="00C14355" w:rsidRDefault="00124344" w:rsidP="00C14355">
      <w:pPr>
        <w:pStyle w:val="ListParagraph"/>
        <w:numPr>
          <w:ilvl w:val="0"/>
          <w:numId w:val="3"/>
        </w:numPr>
        <w:spacing w:after="120"/>
        <w:jc w:val="both"/>
        <w:rPr>
          <w:rFonts w:ascii="Times New Roman" w:eastAsia="Times New Roman" w:hAnsi="Times New Roman" w:cs="Times New Roman"/>
        </w:rPr>
      </w:pPr>
      <w:r w:rsidRPr="00C14355">
        <w:rPr>
          <w:rFonts w:ascii="Times New Roman" w:eastAsia="Times New Roman" w:hAnsi="Times New Roman" w:cs="Times New Roman"/>
        </w:rPr>
        <w:t>This Regulation shall come into force on the day following the date of its publication.</w:t>
      </w:r>
    </w:p>
    <w:p w14:paraId="25EF78AE" w14:textId="4D4B00B3" w:rsidR="00124344" w:rsidRPr="00C14355" w:rsidRDefault="00124344" w:rsidP="00C14355">
      <w:pPr>
        <w:pStyle w:val="ListParagraph"/>
        <w:numPr>
          <w:ilvl w:val="0"/>
          <w:numId w:val="3"/>
        </w:numPr>
        <w:spacing w:after="120"/>
        <w:jc w:val="both"/>
        <w:rPr>
          <w:rFonts w:ascii="Times New Roman" w:eastAsia="Times New Roman" w:hAnsi="Times New Roman" w:cs="Times New Roman"/>
        </w:rPr>
      </w:pPr>
      <w:r w:rsidRPr="00C14355">
        <w:rPr>
          <w:rFonts w:ascii="Times New Roman" w:eastAsia="Times New Roman" w:hAnsi="Times New Roman" w:cs="Times New Roman"/>
        </w:rPr>
        <w:t>In this Regulation, unless the context otherwise requires:</w:t>
      </w:r>
    </w:p>
    <w:p w14:paraId="6EF56E1F" w14:textId="77777777" w:rsidR="00124344" w:rsidRPr="00124344" w:rsidRDefault="00124344" w:rsidP="0050058B">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“University” means Thammasat University.</w:t>
      </w:r>
    </w:p>
    <w:p w14:paraId="588E7CF8" w14:textId="2D629E5E" w:rsidR="00124344" w:rsidRPr="00124344" w:rsidRDefault="00124344" w:rsidP="0050058B">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w:t>
      </w:r>
      <w:r w:rsidR="0035079F">
        <w:rPr>
          <w:rFonts w:ascii="Times New Roman" w:eastAsia="Times New Roman" w:hAnsi="Times New Roman" w:cs="Times New Roman"/>
        </w:rPr>
        <w:t>Rector</w:t>
      </w:r>
      <w:r w:rsidRPr="00124344">
        <w:rPr>
          <w:rFonts w:ascii="Times New Roman" w:eastAsia="Times New Roman" w:hAnsi="Times New Roman" w:cs="Times New Roman"/>
        </w:rPr>
        <w:t xml:space="preserve">” means the </w:t>
      </w:r>
      <w:r w:rsidR="0035079F">
        <w:rPr>
          <w:rFonts w:ascii="Times New Roman" w:eastAsia="Times New Roman" w:hAnsi="Times New Roman" w:cs="Times New Roman"/>
        </w:rPr>
        <w:t>Rector</w:t>
      </w:r>
      <w:r w:rsidRPr="00124344">
        <w:rPr>
          <w:rFonts w:ascii="Times New Roman" w:eastAsia="Times New Roman" w:hAnsi="Times New Roman" w:cs="Times New Roman"/>
        </w:rPr>
        <w:t xml:space="preserve"> of Thammasat University.</w:t>
      </w:r>
    </w:p>
    <w:p w14:paraId="6D5D0A89" w14:textId="77777777" w:rsidR="00124344" w:rsidRPr="00124344" w:rsidRDefault="00124344" w:rsidP="005E2449">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“Unit” means an academic or administrative unit established pursuant to the Thammasat University Regulation on the Establishment and Division of University Units.</w:t>
      </w:r>
    </w:p>
    <w:p w14:paraId="256A1ECF" w14:textId="77777777" w:rsidR="00124344" w:rsidRPr="00124344" w:rsidRDefault="00124344" w:rsidP="005E2449">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“Credit Bank System” means a database system for the registration and accumulation of credits, academic results, and learning outcomes of learners derived from education undertaken at the University, at other higher education institutions, through non-formal education, and through informal education, together with documentary evidence constituting the basis for credit transfer.</w:t>
      </w:r>
    </w:p>
    <w:p w14:paraId="732CBA8C" w14:textId="77777777" w:rsidR="00124344" w:rsidRPr="00124344" w:rsidRDefault="00124344" w:rsidP="005E2449">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“Formal Education” means education characterized by clearly prescribed objectives, methods, curricula, duration, and assessment and evaluation procedures that constitute definite conditions for the completion of such education.</w:t>
      </w:r>
    </w:p>
    <w:p w14:paraId="15FD746A" w14:textId="77777777" w:rsidR="00124344" w:rsidRPr="00124344" w:rsidRDefault="00124344" w:rsidP="005E2449">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“Non-Formal Education” means education characterized by flexibility in determining objectives, formats, methods of provision, duration, and assessment and evaluation procedures that constitute essential conditions for the completion of such education, whereby the content and curriculum shall be appropriate and responsive to the problems and needs of specific target groups.</w:t>
      </w:r>
    </w:p>
    <w:p w14:paraId="3767BB2F" w14:textId="77777777" w:rsidR="00124344" w:rsidRPr="00124344" w:rsidRDefault="00124344" w:rsidP="005E2449">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“Informal Education” means education whereby learners acquire knowledge independently according to their individual interests, potential, readiness, and opportunities through interaction with persons, experiences, society, environments, media, or other learning resources.</w:t>
      </w:r>
    </w:p>
    <w:p w14:paraId="2184C827" w14:textId="77777777" w:rsidR="00124344" w:rsidRPr="00124344" w:rsidRDefault="00124344" w:rsidP="00A266AD">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 xml:space="preserve">“Academic Results” means the outcomes of the assessment of knowledge, skills, ethics, and personal attributes obtained from formal education, expressed in the form of letter grades or </w:t>
      </w:r>
      <w:r w:rsidRPr="00124344">
        <w:rPr>
          <w:rFonts w:ascii="Times New Roman" w:eastAsia="Times New Roman" w:hAnsi="Times New Roman" w:cs="Times New Roman"/>
        </w:rPr>
        <w:lastRenderedPageBreak/>
        <w:t>grade levels that may be utilized to calculate academic performance or cumulative grade point average.</w:t>
      </w:r>
    </w:p>
    <w:p w14:paraId="7DFF3DFB" w14:textId="77777777" w:rsidR="00124344" w:rsidRPr="00124344" w:rsidRDefault="00124344" w:rsidP="00A266AD">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“Learning Outcomes” means outcomes achieved by learners through learning processes derived from education, training, or experience, including practical training or authentic workplace learning undertaken during the course of study.</w:t>
      </w:r>
    </w:p>
    <w:p w14:paraId="43F9C0C4" w14:textId="77777777" w:rsidR="00124344" w:rsidRPr="00124344" w:rsidRDefault="00124344" w:rsidP="00A266AD">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“Learner” means a student enrolled at the University or a member of the general public who registers to study courses for the purpose of accumulating credits in the University’s Credit Bank System.</w:t>
      </w:r>
    </w:p>
    <w:p w14:paraId="5F64FF56" w14:textId="77777777" w:rsidR="00124344" w:rsidRPr="00124344" w:rsidRDefault="00124344" w:rsidP="00A266AD">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“Course” means a subject approved for instruction at the University.</w:t>
      </w:r>
    </w:p>
    <w:p w14:paraId="40A461CE" w14:textId="77777777" w:rsidR="00124344" w:rsidRPr="00124344" w:rsidRDefault="00124344" w:rsidP="00D63390">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“Course Cluster” means two or more courses offered in the same academic semester, designed with clearly defined and assessed learning outcomes resulting from an integrated body of knowledge across all courses within such cluster.</w:t>
      </w:r>
    </w:p>
    <w:p w14:paraId="72D201D8" w14:textId="43CC3C23" w:rsidR="00124344" w:rsidRPr="00124344" w:rsidRDefault="00124344" w:rsidP="00D63390">
      <w:pPr>
        <w:spacing w:after="120"/>
        <w:ind w:firstLine="720"/>
        <w:jc w:val="both"/>
        <w:rPr>
          <w:rFonts w:ascii="Times New Roman" w:eastAsia="Times New Roman" w:hAnsi="Times New Roman" w:cs="Times New Roman"/>
        </w:rPr>
      </w:pPr>
      <w:r w:rsidRPr="00124344">
        <w:rPr>
          <w:rFonts w:ascii="Times New Roman" w:eastAsia="Times New Roman" w:hAnsi="Times New Roman" w:cs="Times New Roman"/>
        </w:rPr>
        <w:t xml:space="preserve">“Curriculum” means a curriculum approved for instruction by the University Council, including undergraduate and graduate degree programs, and curricula approved for instruction by the </w:t>
      </w:r>
      <w:r w:rsidR="0035079F">
        <w:rPr>
          <w:rFonts w:ascii="Times New Roman" w:eastAsia="Times New Roman" w:hAnsi="Times New Roman" w:cs="Times New Roman"/>
        </w:rPr>
        <w:t>Rector</w:t>
      </w:r>
      <w:r w:rsidRPr="00124344">
        <w:rPr>
          <w:rFonts w:ascii="Times New Roman" w:eastAsia="Times New Roman" w:hAnsi="Times New Roman" w:cs="Times New Roman"/>
        </w:rPr>
        <w:t>, including short courses, training programs, and certificate programs.</w:t>
      </w:r>
    </w:p>
    <w:p w14:paraId="02A46B9A" w14:textId="0A197CED" w:rsidR="00D63390" w:rsidRDefault="00124344" w:rsidP="00124344">
      <w:pPr>
        <w:pStyle w:val="ListParagraph"/>
        <w:numPr>
          <w:ilvl w:val="0"/>
          <w:numId w:val="3"/>
        </w:numPr>
        <w:spacing w:after="120"/>
        <w:jc w:val="both"/>
        <w:rPr>
          <w:rFonts w:ascii="Times New Roman" w:eastAsia="Times New Roman" w:hAnsi="Times New Roman" w:cs="Times New Roman"/>
        </w:rPr>
      </w:pPr>
      <w:r w:rsidRPr="00D63390">
        <w:rPr>
          <w:rFonts w:ascii="Times New Roman" w:eastAsia="Times New Roman" w:hAnsi="Times New Roman" w:cs="Times New Roman"/>
        </w:rPr>
        <w:t xml:space="preserve">The administration and operation of the Credit Bank System under this Regulation shall be the responsibility of a </w:t>
      </w:r>
      <w:r w:rsidR="00A97F96" w:rsidRPr="00D63390">
        <w:rPr>
          <w:rFonts w:ascii="Times New Roman" w:eastAsia="Times New Roman" w:hAnsi="Times New Roman" w:cs="Times New Roman"/>
        </w:rPr>
        <w:t>U</w:t>
      </w:r>
      <w:r w:rsidRPr="00D63390">
        <w:rPr>
          <w:rFonts w:ascii="Times New Roman" w:eastAsia="Times New Roman" w:hAnsi="Times New Roman" w:cs="Times New Roman"/>
        </w:rPr>
        <w:t xml:space="preserve">nit designated by the </w:t>
      </w:r>
      <w:r w:rsidR="0035079F">
        <w:rPr>
          <w:rFonts w:ascii="Times New Roman" w:eastAsia="Times New Roman" w:hAnsi="Times New Roman" w:cs="Times New Roman"/>
        </w:rPr>
        <w:t>Rector</w:t>
      </w:r>
      <w:r w:rsidRPr="00D63390">
        <w:rPr>
          <w:rFonts w:ascii="Times New Roman" w:eastAsia="Times New Roman" w:hAnsi="Times New Roman" w:cs="Times New Roman"/>
        </w:rPr>
        <w:t xml:space="preserve"> and shall be subject to the supervision and monitoring of the Vice </w:t>
      </w:r>
      <w:r w:rsidR="0035079F">
        <w:rPr>
          <w:rFonts w:ascii="Times New Roman" w:eastAsia="Times New Roman" w:hAnsi="Times New Roman" w:cs="Times New Roman"/>
        </w:rPr>
        <w:t>Rector</w:t>
      </w:r>
      <w:r w:rsidRPr="00D63390">
        <w:rPr>
          <w:rFonts w:ascii="Times New Roman" w:eastAsia="Times New Roman" w:hAnsi="Times New Roman" w:cs="Times New Roman"/>
        </w:rPr>
        <w:t xml:space="preserve"> assigned by the </w:t>
      </w:r>
      <w:r w:rsidR="0035079F">
        <w:rPr>
          <w:rFonts w:ascii="Times New Roman" w:eastAsia="Times New Roman" w:hAnsi="Times New Roman" w:cs="Times New Roman"/>
        </w:rPr>
        <w:t>Rector</w:t>
      </w:r>
      <w:r w:rsidRPr="00D63390">
        <w:rPr>
          <w:rFonts w:ascii="Times New Roman" w:eastAsia="Times New Roman" w:hAnsi="Times New Roman" w:cs="Times New Roman"/>
        </w:rPr>
        <w:t>.</w:t>
      </w:r>
    </w:p>
    <w:p w14:paraId="2911E15F" w14:textId="6750A535" w:rsidR="00D63390" w:rsidRDefault="00124344" w:rsidP="00124344">
      <w:pPr>
        <w:pStyle w:val="ListParagraph"/>
        <w:numPr>
          <w:ilvl w:val="0"/>
          <w:numId w:val="3"/>
        </w:numPr>
        <w:spacing w:after="120"/>
        <w:jc w:val="both"/>
        <w:rPr>
          <w:rFonts w:ascii="Times New Roman" w:eastAsia="Times New Roman" w:hAnsi="Times New Roman" w:cs="Times New Roman"/>
        </w:rPr>
      </w:pPr>
      <w:r w:rsidRPr="00D63390">
        <w:rPr>
          <w:rFonts w:ascii="Times New Roman" w:eastAsia="Times New Roman" w:hAnsi="Times New Roman" w:cs="Times New Roman"/>
        </w:rPr>
        <w:t xml:space="preserve">Any learner who wishes to accumulate credits in the University’s Credit Bank System shall submit an application to become a user of the Credit Bank System in accordance with the application procedures and identity verification requirements prescribed by the </w:t>
      </w:r>
      <w:r w:rsidR="0035079F">
        <w:rPr>
          <w:rFonts w:ascii="Times New Roman" w:eastAsia="Times New Roman" w:hAnsi="Times New Roman" w:cs="Times New Roman"/>
        </w:rPr>
        <w:t>Rector</w:t>
      </w:r>
      <w:r w:rsidRPr="00D63390">
        <w:rPr>
          <w:rFonts w:ascii="Times New Roman" w:eastAsia="Times New Roman" w:hAnsi="Times New Roman" w:cs="Times New Roman"/>
        </w:rPr>
        <w:t xml:space="preserve"> and announced by the University.</w:t>
      </w:r>
    </w:p>
    <w:p w14:paraId="1C50F3AC" w14:textId="506EB681" w:rsidR="00D63390" w:rsidRDefault="00124344" w:rsidP="00124344">
      <w:pPr>
        <w:pStyle w:val="ListParagraph"/>
        <w:numPr>
          <w:ilvl w:val="0"/>
          <w:numId w:val="3"/>
        </w:numPr>
        <w:spacing w:after="120"/>
        <w:jc w:val="both"/>
        <w:rPr>
          <w:rFonts w:ascii="Times New Roman" w:eastAsia="Times New Roman" w:hAnsi="Times New Roman" w:cs="Times New Roman"/>
        </w:rPr>
      </w:pPr>
      <w:r w:rsidRPr="00D63390">
        <w:rPr>
          <w:rFonts w:ascii="Times New Roman" w:eastAsia="Times New Roman" w:hAnsi="Times New Roman" w:cs="Times New Roman"/>
        </w:rPr>
        <w:t xml:space="preserve">The fees for credit accumulation in the Credit Bank System shall be prescribed by the </w:t>
      </w:r>
      <w:r w:rsidR="0035079F">
        <w:rPr>
          <w:rFonts w:ascii="Times New Roman" w:eastAsia="Times New Roman" w:hAnsi="Times New Roman" w:cs="Times New Roman"/>
        </w:rPr>
        <w:t>Rector</w:t>
      </w:r>
      <w:r w:rsidRPr="00D63390">
        <w:rPr>
          <w:rFonts w:ascii="Times New Roman" w:eastAsia="Times New Roman" w:hAnsi="Times New Roman" w:cs="Times New Roman"/>
        </w:rPr>
        <w:t xml:space="preserve"> by way of a University announcement and shall be reported to the University Council for acknowledgment.</w:t>
      </w:r>
    </w:p>
    <w:p w14:paraId="38BA2C2E" w14:textId="77777777" w:rsidR="00D63390" w:rsidRDefault="00124344" w:rsidP="00124344">
      <w:pPr>
        <w:pStyle w:val="ListParagraph"/>
        <w:numPr>
          <w:ilvl w:val="0"/>
          <w:numId w:val="3"/>
        </w:numPr>
        <w:spacing w:after="120"/>
        <w:jc w:val="both"/>
        <w:rPr>
          <w:rFonts w:ascii="Times New Roman" w:eastAsia="Times New Roman" w:hAnsi="Times New Roman" w:cs="Times New Roman"/>
        </w:rPr>
      </w:pPr>
      <w:r w:rsidRPr="00D63390">
        <w:rPr>
          <w:rFonts w:ascii="Times New Roman" w:eastAsia="Times New Roman" w:hAnsi="Times New Roman" w:cs="Times New Roman"/>
        </w:rPr>
        <w:t>A learner may transfer academic results, learning outcomes, or credits obtained from formal education, non-formal education, or informal education into the University’s Credit Bank System in accordance with the criteria prescribed by the University or the relevant Unit, as applicable.</w:t>
      </w:r>
    </w:p>
    <w:p w14:paraId="1665C249" w14:textId="77777777" w:rsidR="00D63390" w:rsidRDefault="00124344" w:rsidP="00124344">
      <w:pPr>
        <w:pStyle w:val="ListParagraph"/>
        <w:numPr>
          <w:ilvl w:val="0"/>
          <w:numId w:val="3"/>
        </w:numPr>
        <w:spacing w:after="120"/>
        <w:jc w:val="both"/>
        <w:rPr>
          <w:rFonts w:ascii="Times New Roman" w:eastAsia="Times New Roman" w:hAnsi="Times New Roman" w:cs="Times New Roman"/>
        </w:rPr>
      </w:pPr>
      <w:r w:rsidRPr="00D63390">
        <w:rPr>
          <w:rFonts w:ascii="Times New Roman" w:eastAsia="Times New Roman" w:hAnsi="Times New Roman" w:cs="Times New Roman"/>
        </w:rPr>
        <w:t>Academic results, learning outcomes, or credits may be accumulated in the Credit Bank System for the duration prescribed by the University or the relevant Unit, as applicable.</w:t>
      </w:r>
    </w:p>
    <w:p w14:paraId="58BE6DC2" w14:textId="77777777" w:rsidR="00D63390" w:rsidRDefault="00124344" w:rsidP="00124344">
      <w:pPr>
        <w:pStyle w:val="ListParagraph"/>
        <w:numPr>
          <w:ilvl w:val="0"/>
          <w:numId w:val="3"/>
        </w:numPr>
        <w:spacing w:after="120"/>
        <w:jc w:val="both"/>
        <w:rPr>
          <w:rFonts w:ascii="Times New Roman" w:eastAsia="Times New Roman" w:hAnsi="Times New Roman" w:cs="Times New Roman"/>
        </w:rPr>
      </w:pPr>
      <w:r w:rsidRPr="00D63390">
        <w:rPr>
          <w:rFonts w:ascii="Times New Roman" w:eastAsia="Times New Roman" w:hAnsi="Times New Roman" w:cs="Times New Roman"/>
        </w:rPr>
        <w:t>A learner may access and examine his or her personal information and accumulated credit information in the Credit Bank System, subject to compliance with the identity verification procedures prescribed by the University.</w:t>
      </w:r>
    </w:p>
    <w:p w14:paraId="458E1723" w14:textId="77777777" w:rsidR="00D63390" w:rsidRDefault="00124344" w:rsidP="00124344">
      <w:pPr>
        <w:pStyle w:val="ListParagraph"/>
        <w:numPr>
          <w:ilvl w:val="0"/>
          <w:numId w:val="3"/>
        </w:numPr>
        <w:spacing w:after="120"/>
        <w:jc w:val="both"/>
        <w:rPr>
          <w:rFonts w:ascii="Times New Roman" w:eastAsia="Times New Roman" w:hAnsi="Times New Roman" w:cs="Times New Roman"/>
        </w:rPr>
      </w:pPr>
      <w:r w:rsidRPr="00D63390">
        <w:rPr>
          <w:rFonts w:ascii="Times New Roman" w:eastAsia="Times New Roman" w:hAnsi="Times New Roman" w:cs="Times New Roman"/>
        </w:rPr>
        <w:t>A learner who has registered for courses in the Credit Bank System and who wishes to pursue formal education within the University shall submit an application to the University in accordance with the criteria prescribed by the University.</w:t>
      </w:r>
    </w:p>
    <w:p w14:paraId="2914DB5A" w14:textId="77777777" w:rsidR="00D63390" w:rsidRDefault="00124344" w:rsidP="00124344">
      <w:pPr>
        <w:pStyle w:val="ListParagraph"/>
        <w:numPr>
          <w:ilvl w:val="0"/>
          <w:numId w:val="3"/>
        </w:numPr>
        <w:spacing w:after="120"/>
        <w:jc w:val="both"/>
        <w:rPr>
          <w:rFonts w:ascii="Times New Roman" w:eastAsia="Times New Roman" w:hAnsi="Times New Roman" w:cs="Times New Roman"/>
        </w:rPr>
      </w:pPr>
      <w:r w:rsidRPr="00D63390">
        <w:rPr>
          <w:rFonts w:ascii="Times New Roman" w:eastAsia="Times New Roman" w:hAnsi="Times New Roman" w:cs="Times New Roman"/>
        </w:rPr>
        <w:t>A learner who has registered for courses in the Credit Bank System and who has fulfilled the course structure prescribed by a Curriculum may submit an application for graduation in accordance with the criteria and conditions prescribed by the University or the relevant Unit, as applicable.</w:t>
      </w:r>
    </w:p>
    <w:p w14:paraId="0F0650A2" w14:textId="69846C3C" w:rsidR="00124344" w:rsidRPr="00D63390" w:rsidRDefault="00124344" w:rsidP="00124344">
      <w:pPr>
        <w:pStyle w:val="ListParagraph"/>
        <w:numPr>
          <w:ilvl w:val="0"/>
          <w:numId w:val="3"/>
        </w:numPr>
        <w:spacing w:after="120"/>
        <w:jc w:val="both"/>
        <w:rPr>
          <w:rFonts w:ascii="Times New Roman" w:eastAsia="Times New Roman" w:hAnsi="Times New Roman" w:cs="Times New Roman"/>
        </w:rPr>
      </w:pPr>
      <w:r w:rsidRPr="00D63390">
        <w:rPr>
          <w:rFonts w:ascii="Times New Roman" w:eastAsia="Times New Roman" w:hAnsi="Times New Roman" w:cs="Times New Roman"/>
        </w:rPr>
        <w:lastRenderedPageBreak/>
        <w:t xml:space="preserve">The </w:t>
      </w:r>
      <w:r w:rsidR="0035079F">
        <w:rPr>
          <w:rFonts w:ascii="Times New Roman" w:eastAsia="Times New Roman" w:hAnsi="Times New Roman" w:cs="Times New Roman"/>
        </w:rPr>
        <w:t>Rector</w:t>
      </w:r>
      <w:r w:rsidRPr="00D63390">
        <w:rPr>
          <w:rFonts w:ascii="Times New Roman" w:eastAsia="Times New Roman" w:hAnsi="Times New Roman" w:cs="Times New Roman"/>
        </w:rPr>
        <w:t xml:space="preserve"> shall be the competent authority responsible for the implementation and enforcement of this Regulation and shall have the power to issue University announcements prescribing rules, procedures, and other matters necessary for the execution of this Regulation.</w:t>
      </w:r>
    </w:p>
    <w:p w14:paraId="00502142" w14:textId="0BCA8944" w:rsidR="00124344" w:rsidRPr="00124344" w:rsidRDefault="00124344" w:rsidP="00124344">
      <w:pPr>
        <w:spacing w:after="120"/>
        <w:jc w:val="both"/>
        <w:rPr>
          <w:rFonts w:ascii="Times New Roman" w:eastAsia="Times New Roman" w:hAnsi="Times New Roman" w:cs="Times New Roman"/>
        </w:rPr>
      </w:pPr>
    </w:p>
    <w:p w14:paraId="1D18A29E" w14:textId="77777777" w:rsidR="00124344" w:rsidRDefault="00124344" w:rsidP="00124344">
      <w:pPr>
        <w:spacing w:after="120"/>
        <w:jc w:val="both"/>
        <w:rPr>
          <w:rFonts w:ascii="Times New Roman" w:eastAsia="Times New Roman" w:hAnsi="Times New Roman" w:cs="Times New Roman"/>
        </w:rPr>
      </w:pPr>
      <w:r w:rsidRPr="00124344">
        <w:rPr>
          <w:rFonts w:ascii="Times New Roman" w:eastAsia="Times New Roman" w:hAnsi="Times New Roman" w:cs="Times New Roman"/>
        </w:rPr>
        <w:t>Promulgated on 26 January B.E. 2569 (2026)</w:t>
      </w:r>
    </w:p>
    <w:p w14:paraId="6DC6AD08" w14:textId="77777777" w:rsidR="00124344" w:rsidRDefault="00124344" w:rsidP="00124344">
      <w:pPr>
        <w:spacing w:after="120"/>
        <w:jc w:val="both"/>
        <w:rPr>
          <w:rFonts w:ascii="Times New Roman" w:eastAsia="Times New Roman" w:hAnsi="Times New Roman" w:cs="Times New Roman"/>
        </w:rPr>
      </w:pPr>
    </w:p>
    <w:p w14:paraId="77E7D4F0" w14:textId="77777777" w:rsidR="00124344" w:rsidRPr="00124344" w:rsidRDefault="00124344" w:rsidP="00124344">
      <w:pPr>
        <w:spacing w:after="120"/>
        <w:jc w:val="both"/>
        <w:rPr>
          <w:rFonts w:ascii="Times New Roman" w:eastAsia="Times New Roman" w:hAnsi="Times New Roman" w:cs="Times New Roman"/>
        </w:rPr>
      </w:pPr>
    </w:p>
    <w:p w14:paraId="55233F5F" w14:textId="70F3223B" w:rsidR="00124344" w:rsidRPr="00124344" w:rsidRDefault="00124344" w:rsidP="00124344">
      <w:pPr>
        <w:spacing w:after="120"/>
        <w:rPr>
          <w:rFonts w:ascii="Times New Roman" w:eastAsia="Times New Roman" w:hAnsi="Times New Roman" w:cs="Times New Roman"/>
        </w:rPr>
      </w:pPr>
      <w:r w:rsidRPr="00124344">
        <w:rPr>
          <w:rFonts w:ascii="Times New Roman" w:eastAsia="Times New Roman" w:hAnsi="Times New Roman" w:cs="Times New Roman"/>
        </w:rPr>
        <w:t>(Professor</w:t>
      </w:r>
      <w:r>
        <w:rPr>
          <w:rFonts w:ascii="Times New Roman" w:eastAsia="Times New Roman" w:hAnsi="Times New Roman" w:cs="Times New Roman"/>
        </w:rPr>
        <w:t xml:space="preserve"> </w:t>
      </w:r>
      <w:proofErr w:type="spellStart"/>
      <w:r w:rsidRPr="00124344">
        <w:rPr>
          <w:rFonts w:ascii="Times New Roman" w:eastAsia="Times New Roman" w:hAnsi="Times New Roman" w:cs="Times New Roman"/>
        </w:rPr>
        <w:t>Surapol</w:t>
      </w:r>
      <w:proofErr w:type="spellEnd"/>
      <w:r w:rsidRPr="00124344">
        <w:rPr>
          <w:rFonts w:ascii="Times New Roman" w:eastAsia="Times New Roman" w:hAnsi="Times New Roman" w:cs="Times New Roman"/>
        </w:rPr>
        <w:t xml:space="preserve"> </w:t>
      </w:r>
      <w:proofErr w:type="spellStart"/>
      <w:r w:rsidRPr="00124344">
        <w:rPr>
          <w:rFonts w:ascii="Times New Roman" w:eastAsia="Times New Roman" w:hAnsi="Times New Roman" w:cs="Times New Roman"/>
        </w:rPr>
        <w:t>Nitikraipot</w:t>
      </w:r>
      <w:proofErr w:type="spellEnd"/>
      <w:r w:rsidRPr="00124344">
        <w:rPr>
          <w:rFonts w:ascii="Times New Roman" w:eastAsia="Times New Roman" w:hAnsi="Times New Roman" w:cs="Times New Roman"/>
        </w:rPr>
        <w:t>)</w:t>
      </w:r>
      <w:r w:rsidRPr="00124344">
        <w:rPr>
          <w:rFonts w:ascii="Times New Roman" w:eastAsia="Times New Roman" w:hAnsi="Times New Roman" w:cs="Times New Roman"/>
        </w:rPr>
        <w:br/>
        <w:t>Chairman of the University Council</w:t>
      </w:r>
    </w:p>
    <w:p w14:paraId="48D33F7C" w14:textId="23FB4E3A" w:rsidR="00116CA0" w:rsidRDefault="00116CA0" w:rsidP="00124344">
      <w:pPr>
        <w:spacing w:after="120"/>
        <w:jc w:val="both"/>
      </w:pPr>
    </w:p>
    <w:sectPr w:rsidR="00116CA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altName w:val="Calibri"/>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721"/>
    <w:multiLevelType w:val="hybridMultilevel"/>
    <w:tmpl w:val="725217CC"/>
    <w:lvl w:ilvl="0" w:tplc="3F9EDB9E">
      <w:start w:val="1"/>
      <w:numFmt w:val="decimal"/>
      <w:lvlText w:val="Section %1"/>
      <w:lvlJc w:val="left"/>
      <w:pPr>
        <w:ind w:left="0" w:firstLine="0"/>
      </w:pPr>
    </w:lvl>
    <w:lvl w:ilvl="1" w:tplc="D5C0AAB2">
      <w:numFmt w:val="decimal"/>
      <w:lvlText w:val=""/>
      <w:lvlJc w:val="left"/>
    </w:lvl>
    <w:lvl w:ilvl="2" w:tplc="13727058">
      <w:numFmt w:val="decimal"/>
      <w:lvlText w:val=""/>
      <w:lvlJc w:val="left"/>
    </w:lvl>
    <w:lvl w:ilvl="3" w:tplc="66566CCA">
      <w:numFmt w:val="decimal"/>
      <w:lvlText w:val=""/>
      <w:lvlJc w:val="left"/>
    </w:lvl>
    <w:lvl w:ilvl="4" w:tplc="FE6CF98E">
      <w:numFmt w:val="decimal"/>
      <w:lvlText w:val=""/>
      <w:lvlJc w:val="left"/>
    </w:lvl>
    <w:lvl w:ilvl="5" w:tplc="57A008CE">
      <w:numFmt w:val="decimal"/>
      <w:lvlText w:val=""/>
      <w:lvlJc w:val="left"/>
    </w:lvl>
    <w:lvl w:ilvl="6" w:tplc="193423F2">
      <w:numFmt w:val="decimal"/>
      <w:lvlText w:val=""/>
      <w:lvlJc w:val="left"/>
    </w:lvl>
    <w:lvl w:ilvl="7" w:tplc="6C4E6796">
      <w:numFmt w:val="decimal"/>
      <w:lvlText w:val=""/>
      <w:lvlJc w:val="left"/>
    </w:lvl>
    <w:lvl w:ilvl="8" w:tplc="837254FA">
      <w:numFmt w:val="decimal"/>
      <w:lvlText w:val=""/>
      <w:lvlJc w:val="left"/>
    </w:lvl>
  </w:abstractNum>
  <w:abstractNum w:abstractNumId="1" w15:restartNumberingAfterBreak="0">
    <w:nsid w:val="1C7903F1"/>
    <w:multiLevelType w:val="hybridMultilevel"/>
    <w:tmpl w:val="E50477D0"/>
    <w:lvl w:ilvl="0" w:tplc="013C935E">
      <w:start w:val="1"/>
      <w:numFmt w:val="bullet"/>
      <w:lvlText w:val="●"/>
      <w:lvlJc w:val="left"/>
      <w:pPr>
        <w:ind w:left="720" w:hanging="360"/>
      </w:pPr>
    </w:lvl>
    <w:lvl w:ilvl="1" w:tplc="187A86AC">
      <w:start w:val="1"/>
      <w:numFmt w:val="bullet"/>
      <w:lvlText w:val="○"/>
      <w:lvlJc w:val="left"/>
      <w:pPr>
        <w:ind w:left="1440" w:hanging="360"/>
      </w:pPr>
    </w:lvl>
    <w:lvl w:ilvl="2" w:tplc="14880622">
      <w:start w:val="1"/>
      <w:numFmt w:val="bullet"/>
      <w:lvlText w:val="■"/>
      <w:lvlJc w:val="left"/>
      <w:pPr>
        <w:ind w:left="2160" w:hanging="360"/>
      </w:pPr>
    </w:lvl>
    <w:lvl w:ilvl="3" w:tplc="BA5046E0">
      <w:start w:val="1"/>
      <w:numFmt w:val="bullet"/>
      <w:lvlText w:val="●"/>
      <w:lvlJc w:val="left"/>
      <w:pPr>
        <w:ind w:left="2880" w:hanging="360"/>
      </w:pPr>
    </w:lvl>
    <w:lvl w:ilvl="4" w:tplc="5352D376">
      <w:start w:val="1"/>
      <w:numFmt w:val="bullet"/>
      <w:lvlText w:val="○"/>
      <w:lvlJc w:val="left"/>
      <w:pPr>
        <w:ind w:left="3600" w:hanging="360"/>
      </w:pPr>
    </w:lvl>
    <w:lvl w:ilvl="5" w:tplc="16AC390E">
      <w:start w:val="1"/>
      <w:numFmt w:val="bullet"/>
      <w:lvlText w:val="■"/>
      <w:lvlJc w:val="left"/>
      <w:pPr>
        <w:ind w:left="4320" w:hanging="360"/>
      </w:pPr>
    </w:lvl>
    <w:lvl w:ilvl="6" w:tplc="5B64654C">
      <w:start w:val="1"/>
      <w:numFmt w:val="bullet"/>
      <w:lvlText w:val="●"/>
      <w:lvlJc w:val="left"/>
      <w:pPr>
        <w:ind w:left="5040" w:hanging="360"/>
      </w:pPr>
    </w:lvl>
    <w:lvl w:ilvl="7" w:tplc="AA504528">
      <w:start w:val="1"/>
      <w:numFmt w:val="bullet"/>
      <w:lvlText w:val="●"/>
      <w:lvlJc w:val="left"/>
      <w:pPr>
        <w:ind w:left="5760" w:hanging="360"/>
      </w:pPr>
    </w:lvl>
    <w:lvl w:ilvl="8" w:tplc="707EF2A6">
      <w:start w:val="1"/>
      <w:numFmt w:val="bullet"/>
      <w:lvlText w:val="●"/>
      <w:lvlJc w:val="left"/>
      <w:pPr>
        <w:ind w:left="6480" w:hanging="360"/>
      </w:pPr>
    </w:lvl>
  </w:abstractNum>
  <w:abstractNum w:abstractNumId="2" w15:restartNumberingAfterBreak="0">
    <w:nsid w:val="535645FE"/>
    <w:multiLevelType w:val="hybridMultilevel"/>
    <w:tmpl w:val="43C0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CA0"/>
    <w:rsid w:val="00116CA0"/>
    <w:rsid w:val="00124344"/>
    <w:rsid w:val="0035079F"/>
    <w:rsid w:val="0050058B"/>
    <w:rsid w:val="005815F4"/>
    <w:rsid w:val="005E2449"/>
    <w:rsid w:val="00A266AD"/>
    <w:rsid w:val="00A97F96"/>
    <w:rsid w:val="00C14355"/>
    <w:rsid w:val="00CD1E3F"/>
    <w:rsid w:val="00D57880"/>
    <w:rsid w:val="00D63390"/>
    <w:rsid w:val="00EF154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7567"/>
  <w15:docId w15:val="{02E1F334-C0BE-4825-AFB7-2DA1C3D9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jc w:val="center"/>
      <w:outlineLvl w:val="0"/>
    </w:pPr>
    <w:rPr>
      <w:b/>
      <w:bCs/>
      <w:sz w:val="28"/>
      <w:szCs w:val="28"/>
    </w:rPr>
  </w:style>
  <w:style w:type="paragraph" w:styleId="Heading2">
    <w:name w:val="heading 2"/>
    <w:uiPriority w:val="9"/>
    <w:semiHidden/>
    <w:unhideWhenUsed/>
    <w:qFormat/>
    <w:pPr>
      <w:spacing w:before="200" w:after="10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5</cp:revision>
  <dcterms:created xsi:type="dcterms:W3CDTF">2026-02-13T13:10:00Z</dcterms:created>
  <dcterms:modified xsi:type="dcterms:W3CDTF">2026-02-16T08:42:00Z</dcterms:modified>
</cp:coreProperties>
</file>